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69" w:rsidRDefault="00A87C69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39</w:t>
      </w:r>
    </w:p>
    <w:p w:rsidR="00A87C69" w:rsidRDefault="00A87C69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Тарифному соглашению </w:t>
      </w:r>
    </w:p>
    <w:p w:rsidR="00A87C69" w:rsidRDefault="00A87C69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« 29 » января 2020 г.</w:t>
      </w:r>
    </w:p>
    <w:p w:rsidR="00A87C69" w:rsidRDefault="00A87C69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C69" w:rsidRDefault="00A87C69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7D87" w:rsidRDefault="00A57D87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</w:t>
      </w:r>
      <w:proofErr w:type="gramStart"/>
      <w:r>
        <w:rPr>
          <w:rFonts w:ascii="Times New Roman" w:hAnsi="Times New Roman"/>
          <w:b/>
          <w:sz w:val="28"/>
          <w:szCs w:val="28"/>
        </w:rPr>
        <w:t>применения показателей результативности деятельности медицинских организаций</w:t>
      </w:r>
      <w:proofErr w:type="gramEnd"/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87C69" w:rsidRDefault="00A87C69" w:rsidP="00A87C6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A87C69" w:rsidRDefault="00A87C69" w:rsidP="00A87C6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показателей результативности деятельности медицинской организации осуществляется при реализации следующих  способов оплаты: </w:t>
      </w:r>
    </w:p>
    <w:p w:rsidR="00A87C69" w:rsidRDefault="00A87C69" w:rsidP="00A87C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при оплате медицинской помощи, оказанной в амбулаторных условиях п</w:t>
      </w:r>
      <w:r>
        <w:rPr>
          <w:rFonts w:ascii="Times New Roman" w:hAnsi="Times New Roman" w:cs="Times New Roman"/>
          <w:sz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</w:rPr>
        <w:t xml:space="preserve"> нормативу финансирования на прикрепившихся лиц </w:t>
      </w:r>
      <w:r>
        <w:rPr>
          <w:rFonts w:ascii="Times New Roman" w:hAnsi="Times New Roman" w:cs="Times New Roman"/>
          <w:sz w:val="28"/>
        </w:rPr>
        <w:br/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>
        <w:rPr>
          <w:rFonts w:ascii="Times New Roman" w:hAnsi="Times New Roman" w:cs="Times New Roman"/>
          <w:sz w:val="28"/>
        </w:rPr>
        <w:t>сердечно-сосудистой</w:t>
      </w:r>
      <w:proofErr w:type="spellEnd"/>
      <w:r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</w:t>
      </w:r>
      <w:proofErr w:type="spellStart"/>
      <w:r>
        <w:rPr>
          <w:rFonts w:ascii="Times New Roman" w:hAnsi="Times New Roman" w:cs="Times New Roman"/>
          <w:sz w:val="28"/>
        </w:rPr>
        <w:t>таргетной</w:t>
      </w:r>
      <w:proofErr w:type="spellEnd"/>
      <w:r>
        <w:rPr>
          <w:rFonts w:ascii="Times New Roman" w:hAnsi="Times New Roman" w:cs="Times New Roman"/>
          <w:sz w:val="28"/>
        </w:rPr>
        <w:t xml:space="preserve"> терапии, а также средств на финансовое обеспечение фельдшерских, фельдшерско-акушерских пунктов) с</w:t>
      </w:r>
      <w:proofErr w:type="gramEnd"/>
      <w:r>
        <w:rPr>
          <w:rFonts w:ascii="Times New Roman" w:hAnsi="Times New Roman" w:cs="Times New Roman"/>
          <w:sz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числе, с включением расходов на медицинскую помощь, оказываемую в иных медицинских организациях (за единицу объема медицинской помощи);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при оплате медицинской помощи в медицинских организациях, имеющих в своем составе подразделения, оказывающие медицинскую помощь в амбулаторных</w:t>
      </w:r>
      <w:r w:rsidR="00433E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стационарных условиях и условиях дневного стационара по </w:t>
      </w:r>
      <w:proofErr w:type="spellStart"/>
      <w:r>
        <w:rPr>
          <w:rFonts w:ascii="Times New Roman" w:hAnsi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помощи).</w:t>
      </w:r>
      <w:proofErr w:type="gramEnd"/>
    </w:p>
    <w:p w:rsidR="00A87C69" w:rsidRDefault="00A87C69" w:rsidP="00A87C6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Оценка показателей результативности деятельности медицинской организации осуществляется:</w:t>
      </w:r>
    </w:p>
    <w:p w:rsidR="00A87C69" w:rsidRDefault="00A87C69" w:rsidP="00A87C6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 ТФОМС АО на основании плановых (согласно Д</w:t>
      </w:r>
      <w:r>
        <w:rPr>
          <w:rFonts w:ascii="Times New Roman" w:eastAsiaTheme="minorHAnsi" w:hAnsi="Times New Roman"/>
          <w:sz w:val="28"/>
          <w:szCs w:val="28"/>
        </w:rPr>
        <w:t>оговору на оказание и оплату медицинской помощи по обязательному медицинскому страхованию)</w:t>
      </w:r>
      <w:r>
        <w:rPr>
          <w:rFonts w:ascii="Times New Roman" w:hAnsi="Times New Roman"/>
          <w:sz w:val="28"/>
          <w:szCs w:val="28"/>
        </w:rPr>
        <w:t xml:space="preserve"> и фактических статистических данных (по данным страховых медицинских организаций - принято к оплате объемов медицинской помощи) за отчетный период.</w:t>
      </w:r>
    </w:p>
    <w:p w:rsidR="00A87C69" w:rsidRDefault="00A87C69" w:rsidP="00A87C6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Региональным центром организации первичной медико-санитарной помощи в соответствии с Методическими рекомендациями «Новая модель медицинской организации, оказывающей первичную медико-санитарную помощь», утвержденными МЗ РФ от 30.07.2019.</w:t>
      </w:r>
    </w:p>
    <w:p w:rsidR="00A87C69" w:rsidRDefault="00A87C69" w:rsidP="00A87C6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Результаты оценки показателей результативности передаются в Комиссию по разработке ТП ОМС для осуществления стимулирующих выплат </w:t>
      </w:r>
      <w:r>
        <w:rPr>
          <w:rFonts w:ascii="Times New Roman" w:hAnsi="Times New Roman"/>
          <w:sz w:val="28"/>
        </w:rPr>
        <w:lastRenderedPageBreak/>
        <w:t xml:space="preserve">медицинским организациям по итогам 9 месяцев текущего года.  Медицинская организация получает стимулирующие выплаты в случае достижения  всех показателей результативности, установленных настоящим Порядком. </w:t>
      </w:r>
      <w:r>
        <w:rPr>
          <w:rFonts w:ascii="Times New Roman" w:hAnsi="Times New Roman"/>
          <w:sz w:val="28"/>
          <w:szCs w:val="28"/>
        </w:rPr>
        <w:t xml:space="preserve">Размер средств, направляемых на выплаты медицинским организациям в случае достижения ими целевых показателей результативности, утверждается Протоколом Комиссии по разработке ТП ОМС (далее - Протокол). Направление средств, утвержденных Протоколом, производится страховыми медицинскими организациями (далее - СМО) </w:t>
      </w:r>
      <w:r>
        <w:rPr>
          <w:rFonts w:ascii="Times New Roman" w:hAnsi="Times New Roman" w:cs="Times New Roman"/>
          <w:sz w:val="28"/>
        </w:rPr>
        <w:t xml:space="preserve">в составе средств (с указанием доли средств), направляемых на финансовое обеспечение медицинской организации, имеющей прикрепившихся лиц, по </w:t>
      </w:r>
      <w:proofErr w:type="spellStart"/>
      <w:r>
        <w:rPr>
          <w:rFonts w:ascii="Times New Roman" w:hAnsi="Times New Roman" w:cs="Times New Roman"/>
          <w:sz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</w:rPr>
        <w:t xml:space="preserve"> нормативу финансирования.</w:t>
      </w:r>
    </w:p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средств, направляемых на выплаты медицинским организациям в случае достижения ими целевых показателей результативности, расходуется медицинскими организациями в соответствии со структурой тарифа на оплату медицинской помощи.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87C69" w:rsidRDefault="00A87C69" w:rsidP="00A87C6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результативности деятельности медицинских организаций</w:t>
      </w:r>
    </w:p>
    <w:tbl>
      <w:tblPr>
        <w:tblW w:w="9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1"/>
        <w:gridCol w:w="4397"/>
        <w:gridCol w:w="3403"/>
        <w:gridCol w:w="1134"/>
      </w:tblGrid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Целевое 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пересечений потоков при проведении диспансеризации, профилактических медицинских осмотров с иными потоками пациентов в поликлинике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3 пересечений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 на соответствующий календарный год и плановый период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1 пересечения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действий пациента в потоке процесса оказания ему медицинской помощи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1 действия, порождающего возврат по потоку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мест в зоне (зонах) комфортного ожидания для пациентов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1 места на 200 посещений плановой мощности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системы навигации в медицинской организации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Поиск необходимой информации об объекте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(кабинете, отделении, подразделении и пр.), в том числе в точке ветвления маршрута, занимает не более 30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рабочих мест по системе 5С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Реализованы 3 и более шага в организации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поддержании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порядка на рабочих местах по системе 5С для всех рабочих мест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системы информирования в медицинской организации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составной элемент системы информирования посетителей медицинской организации расположен в месте приложения информации, обновляется по мере ее изменения, доступен для чтения, в том числе с использованием государственных языков республик, находящихся в составе Российской Федерации, других языков народов Российской Федерации, идентичных по содержанию и техническому оформлению государственному языку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Процесс снабжения лекарственными средствами, изделиями медицинского назначения и прочими материалами от склада поставщика до медицинской организации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запасов на складе медицинской организации не превышает четверти объема годовой закупки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Процесс снабжения лекарственными средствами, изделиями медицинского назначения и прочими материалами и их расходования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медицинской организации осуществляется по принципу "точно вовремя"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Уровень запасов не превышает недельную норму расходования (для кабинетов врачебного приема, процедурных,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перевязочных, кабинетов забора биоматериала). За исключением определенного перечня лекарственных средств, требующих специальных условий учета и 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 текущей деятельности медицинской организации стандартизированной работе улучшенных процессов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 (доля соответствия текущей деятельности разработанным стандартам улучшенных процессов)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Да +)</w:t>
            </w:r>
            <w:proofErr w:type="gramEnd"/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Пересмотр стандартов улучшенных процессов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Пересмотр стандартов улучшенных процессов не реже 1 раза в год, актуализация по мере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добавления ценности на приеме пациентов врачом</w:t>
            </w:r>
            <w:r>
              <w:rPr>
                <w:rFonts w:ascii="Times New Roman" w:hAnsi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>
                  <wp:extent cx="1271905" cy="548640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 - время, добавляющее ценность (сбор анамнеза + осмотр + манипуляции + рекомендации, в том числе профилактической направленности);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интервал записи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50% от общего времени приема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Выравнивание нагрузки между сотрудниками в процессе трудовой деятельности в одном рабочем помещении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Колебания нагрузки между отдельными сотрудниками, осуществляющими прием в одном рабочем помещении не более 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штрафов/удержаний/снятий, взысканных страховыми медицинскими организациями по результатам медико-экономического контроля, экспертизы качества медицинской помощи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Планомерное снижение показателей не менее чем на 5% ежегодно по сравнению с предыдущим годом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+ </w:t>
            </w:r>
          </w:p>
        </w:tc>
      </w:tr>
      <w:tr w:rsidR="00A87C69" w:rsidTr="007A7C40"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Каждый показатель исчисляется количеством штрафов (удержаний,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снятий) на 100 запрошенных СМО медицинских карт ежемесячно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C69" w:rsidRDefault="00A87C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7C69" w:rsidTr="007A7C40">
        <w:trPr>
          <w:trHeight w:val="191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Сумма штрафов/удержаний/снятий, взысканных страховыми медицинскими организациями по результатам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экономического контроля, экспертизы качества медицинской помощи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Планомерное снижение показателей не менее чем на 5% ежегодно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сравне</w:t>
            </w:r>
            <w:proofErr w:type="spellEnd"/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показатель исчисляется суммой штрафов (удержаний, снятий) на 100 запрошенных СМО медицинских карт 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амбулаторного приема плановых пациентов врачами строго по времени и по предварительной записи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90% - доля посещений по установленному времени;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90% - доля посещений по предварительной записи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удаленной записи на прием в медицинские организации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записей, произведенных без посещения поликлиники, составляет не менее 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выполнения профилактического осмотра и (или) первого этапа диспансеризации взрослого населения за минимальное количество посещений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3 (трех) посещений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Вовлеченность руководителей медицинских организаций и их заместителей во внедрение бережливых технологий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1 проекта по улучшению в год у руководителя медицинской организации и его заместителей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системы подачи и реализации предложений по улучшению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реализованных улучшений от принятых предложений составляет не менее 30%, с увеличением на 5% 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Визуальное управление процессами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5 процессов (в соответствии с блоками системы SQDCM) управляются через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инфоцентр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A87C69" w:rsidTr="007A7C40">
        <w:trPr>
          <w:trHeight w:val="17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Производственная нагрузка оборудования (далее 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Коэффициент: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80% в отношении оборудования, используемого в диагностических целях, кроме оборудования КДЛ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Нет- </w:t>
            </w:r>
          </w:p>
          <w:p w:rsidR="00A87C69" w:rsidRDefault="00A87C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+</w:t>
            </w:r>
          </w:p>
        </w:tc>
      </w:tr>
      <w:tr w:rsidR="007A7C40" w:rsidTr="007A7C40">
        <w:trPr>
          <w:trHeight w:val="598"/>
        </w:trPr>
        <w:tc>
          <w:tcPr>
            <w:tcW w:w="9495" w:type="dxa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7C40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 w:rsidP="007B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 w:rsidP="007B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 w:rsidP="007B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Целевое значение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 w:rsidP="007B4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A7C40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плана обращений по поводу заболевания в части оплаты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нормативу финансирования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Фактическое количество обращений 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 отчетный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 80</w:t>
            </w:r>
          </w:p>
        </w:tc>
      </w:tr>
      <w:tr w:rsidR="007A7C40" w:rsidTr="007A7C4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 w:rsidP="007A7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плана посещений с профилактическими и иными целями в части оплаты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подушевому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нормативу финансирования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Фактическое количество посещений к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плановому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отчетный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7C40" w:rsidRDefault="007A7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80-100</w:t>
            </w:r>
          </w:p>
        </w:tc>
      </w:tr>
    </w:tbl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Последовательность расчета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средств, направляемых на выплаты медицинским организациям в случае достижения ими целевых показателей результативности, определяется по следующей формуле: </w:t>
      </w:r>
    </w:p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0" w:right="-1" w:firstLine="360"/>
        <w:jc w:val="both"/>
        <w:rPr>
          <w:rFonts w:ascii="Times New Roman" w:hAnsi="Times New Roman"/>
          <w:sz w:val="28"/>
          <w:szCs w:val="28"/>
        </w:rPr>
      </w:pPr>
    </w:p>
    <w:p w:rsidR="00A87C69" w:rsidRDefault="00A87C69" w:rsidP="00A87C69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 xml:space="preserve">я  медицинской организации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МО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A87C69" w:rsidRDefault="00E9684F" w:rsidP="00A87C69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center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МО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A87C69">
        <w:rPr>
          <w:rFonts w:ascii="Times New Roman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∑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МО</m:t>
                </m:r>
              </m:sub>
            </m:sSub>
          </m:den>
        </m:f>
      </m:oMath>
      <w:r w:rsidR="00A87C69">
        <w:rPr>
          <w:rFonts w:ascii="Times New Roman" w:hAnsi="Times New Roman"/>
          <w:sz w:val="28"/>
          <w:szCs w:val="28"/>
          <w:vertAlign w:val="subscript"/>
        </w:rPr>
        <w:t xml:space="preserve">,  </w:t>
      </w:r>
      <w:r w:rsidR="00A87C69">
        <w:rPr>
          <w:rFonts w:ascii="Times New Roman" w:hAnsi="Times New Roman"/>
          <w:sz w:val="28"/>
          <w:szCs w:val="28"/>
        </w:rPr>
        <w:t xml:space="preserve">где 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  <w:vertAlign w:val="subscript"/>
        </w:rPr>
        <w:t>пнф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объем </w:t>
      </w:r>
      <w:proofErr w:type="gramStart"/>
      <w:r>
        <w:rPr>
          <w:rFonts w:ascii="Times New Roman" w:hAnsi="Times New Roman"/>
          <w:sz w:val="28"/>
          <w:szCs w:val="28"/>
        </w:rPr>
        <w:t>средств, направляемых на выплаты медицинским организациям в случае достижения ими целевых показателей результативности составляет</w:t>
      </w:r>
      <w:proofErr w:type="gramEnd"/>
      <w:r>
        <w:rPr>
          <w:rFonts w:ascii="Times New Roman" w:hAnsi="Times New Roman"/>
          <w:sz w:val="28"/>
          <w:szCs w:val="28"/>
        </w:rPr>
        <w:t xml:space="preserve"> 6,0 млн. руб.;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</w:t>
      </w:r>
      <w:r>
        <w:rPr>
          <w:rFonts w:ascii="Times New Roman" w:hAnsi="Times New Roman"/>
          <w:sz w:val="28"/>
          <w:szCs w:val="28"/>
          <w:vertAlign w:val="subscript"/>
        </w:rPr>
        <w:t>МО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медицинских организаций в случае достижения ими всех целевых показателей результативности.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Объем средств, направляемых на выплаты медицинским организациям (ОС</w:t>
      </w:r>
      <w:proofErr w:type="spellStart"/>
      <w:proofErr w:type="gramStart"/>
      <w:r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пнф</w:t>
      </w:r>
      <w:proofErr w:type="spellEnd"/>
      <w:r>
        <w:rPr>
          <w:rFonts w:ascii="Times New Roman" w:hAnsi="Times New Roman"/>
          <w:sz w:val="28"/>
          <w:szCs w:val="28"/>
        </w:rPr>
        <w:t>) СМО определяется по формуле:</w:t>
      </w:r>
    </w:p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A87C69" w:rsidRDefault="00E9684F" w:rsidP="00A87C69">
      <w:pPr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 СМО МО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A87C69">
        <w:rPr>
          <w:rFonts w:ascii="Times New Roman" w:hAnsi="Times New Roman"/>
          <w:sz w:val="28"/>
          <w:szCs w:val="28"/>
          <w:vertAlign w:val="subscript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МО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vertAlign w:val="subscript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зсмо</m:t>
                </m:r>
              </m:sub>
              <m:sup/>
            </m:sSubSup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den>
        </m:f>
        <m:r>
          <w:rPr>
            <w:rFonts w:ascii="Cambria Math" w:hAnsi="Cambria Math"/>
            <w:sz w:val="28"/>
            <w:szCs w:val="28"/>
            <w:vertAlign w:val="subscript"/>
          </w:rPr>
          <m:t>*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vertAlign w:val="subscript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vertAlign w:val="subscript"/>
              </w:rPr>
              <m:t>зсмо</m:t>
            </m:r>
          </m:sub>
          <m:sup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sup>
        </m:sSubSup>
      </m:oMath>
      <w:r w:rsidR="00A87C69">
        <w:rPr>
          <w:rFonts w:ascii="Times New Roman" w:hAnsi="Times New Roman"/>
          <w:sz w:val="28"/>
          <w:szCs w:val="28"/>
          <w:vertAlign w:val="subscript"/>
        </w:rPr>
        <w:t xml:space="preserve">,  </w:t>
      </w:r>
      <w:r w:rsidR="00A87C69">
        <w:rPr>
          <w:rFonts w:ascii="Times New Roman" w:hAnsi="Times New Roman"/>
          <w:sz w:val="28"/>
          <w:szCs w:val="28"/>
        </w:rPr>
        <w:t>где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</w:t>
      </w:r>
      <w:proofErr w:type="spellStart"/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  <w:vertAlign w:val="subscript"/>
        </w:rPr>
        <w:t>зсмо</w:t>
      </w:r>
      <w:proofErr w:type="spellEnd"/>
      <w:r>
        <w:rPr>
          <w:rFonts w:ascii="Times New Roman" w:hAnsi="Times New Roman"/>
          <w:sz w:val="28"/>
          <w:szCs w:val="28"/>
        </w:rPr>
        <w:t xml:space="preserve"> - численность застрахованных лиц на первое число первого месяца расчетного периода;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</w:t>
      </w:r>
      <w:proofErr w:type="spellStart"/>
      <w:r>
        <w:rPr>
          <w:rFonts w:ascii="Times New Roman" w:hAnsi="Times New Roman"/>
          <w:sz w:val="28"/>
          <w:szCs w:val="28"/>
        </w:rPr>
        <w:t>Ч</w:t>
      </w:r>
      <w:proofErr w:type="gramStart"/>
      <w:r>
        <w:rPr>
          <w:rFonts w:ascii="Times New Roman" w:hAnsi="Times New Roman"/>
          <w:i/>
          <w:sz w:val="28"/>
          <w:szCs w:val="28"/>
          <w:vertAlign w:val="superscript"/>
        </w:rPr>
        <w:t>i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зсмо</w:t>
      </w:r>
      <w:proofErr w:type="spellEnd"/>
      <w:r>
        <w:rPr>
          <w:rFonts w:ascii="Times New Roman" w:hAnsi="Times New Roman"/>
          <w:sz w:val="28"/>
          <w:szCs w:val="28"/>
        </w:rPr>
        <w:t xml:space="preserve"> - численность застрахованных лиц на первое число первого месяца расчетного периода СМО;</w:t>
      </w: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A87C69" w:rsidRDefault="00A87C69" w:rsidP="00A87C6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целях применения единого подхода к проведению математических операций по расчету средств, направляемых на выплаты медицинским организациям СМО необходимо округлять до 2-х знаков после запятой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МО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>
        <w:rPr>
          <w:rFonts w:ascii="Times New Roman" w:hAnsi="Times New Roman"/>
          <w:sz w:val="28"/>
          <w:szCs w:val="28"/>
        </w:rPr>
        <w:t xml:space="preserve"> и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 СМО МО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</w:p>
    <w:p w:rsidR="00A87C69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1260" w:right="-1"/>
        <w:jc w:val="both"/>
        <w:rPr>
          <w:rFonts w:ascii="Times New Roman" w:hAnsi="Times New Roman"/>
          <w:sz w:val="28"/>
          <w:szCs w:val="28"/>
        </w:rPr>
      </w:pPr>
    </w:p>
    <w:p w:rsidR="00A87C69" w:rsidRDefault="00A87C69" w:rsidP="00A87C69">
      <w:pPr>
        <w:tabs>
          <w:tab w:val="left" w:pos="3600"/>
        </w:tabs>
      </w:pPr>
    </w:p>
    <w:p w:rsidR="009E451E" w:rsidRPr="00A87C69" w:rsidRDefault="009E451E" w:rsidP="00A87C69"/>
    <w:sectPr w:rsidR="009E451E" w:rsidRPr="00A87C69" w:rsidSect="0077014A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9FC"/>
    <w:multiLevelType w:val="hybridMultilevel"/>
    <w:tmpl w:val="5C0CD0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D2710E"/>
    <w:multiLevelType w:val="hybridMultilevel"/>
    <w:tmpl w:val="42F8A3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8257244"/>
    <w:multiLevelType w:val="hybridMultilevel"/>
    <w:tmpl w:val="F4F26A8C"/>
    <w:lvl w:ilvl="0" w:tplc="36EA3C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1E16BA"/>
    <w:multiLevelType w:val="hybridMultilevel"/>
    <w:tmpl w:val="252C8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14101"/>
    <w:multiLevelType w:val="hybridMultilevel"/>
    <w:tmpl w:val="E7986EAC"/>
    <w:lvl w:ilvl="0" w:tplc="2FD08B3E">
      <w:start w:val="1"/>
      <w:numFmt w:val="decimal"/>
      <w:lvlText w:val="%1."/>
      <w:lvlJc w:val="left"/>
      <w:pPr>
        <w:ind w:left="1350" w:hanging="8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60412AE"/>
    <w:multiLevelType w:val="hybridMultilevel"/>
    <w:tmpl w:val="FDFA250E"/>
    <w:lvl w:ilvl="0" w:tplc="DB3E66A4">
      <w:start w:val="4"/>
      <w:numFmt w:val="decimal"/>
      <w:lvlText w:val="%1."/>
      <w:lvlJc w:val="left"/>
      <w:pPr>
        <w:ind w:left="12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6F000DB"/>
    <w:multiLevelType w:val="hybridMultilevel"/>
    <w:tmpl w:val="83C80892"/>
    <w:lvl w:ilvl="0" w:tplc="22D49FC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AB3C00"/>
    <w:multiLevelType w:val="hybridMultilevel"/>
    <w:tmpl w:val="42F8A3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B5229D7"/>
    <w:multiLevelType w:val="hybridMultilevel"/>
    <w:tmpl w:val="D0DAF9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19A097E"/>
    <w:multiLevelType w:val="hybridMultilevel"/>
    <w:tmpl w:val="09E603C6"/>
    <w:lvl w:ilvl="0" w:tplc="0419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D81069"/>
    <w:multiLevelType w:val="hybridMultilevel"/>
    <w:tmpl w:val="7ABE3E8A"/>
    <w:lvl w:ilvl="0" w:tplc="DE92442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4C454F8"/>
    <w:multiLevelType w:val="hybridMultilevel"/>
    <w:tmpl w:val="5E6EFE36"/>
    <w:lvl w:ilvl="0" w:tplc="C52000A0">
      <w:start w:val="3"/>
      <w:numFmt w:val="decimal"/>
      <w:lvlText w:val="%1."/>
      <w:lvlJc w:val="left"/>
      <w:pPr>
        <w:ind w:left="1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6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B2"/>
    <w:rsid w:val="00004B33"/>
    <w:rsid w:val="00036165"/>
    <w:rsid w:val="000576E1"/>
    <w:rsid w:val="00063129"/>
    <w:rsid w:val="00071A9E"/>
    <w:rsid w:val="00075B77"/>
    <w:rsid w:val="00094D88"/>
    <w:rsid w:val="00096CA8"/>
    <w:rsid w:val="000F36B0"/>
    <w:rsid w:val="000F7379"/>
    <w:rsid w:val="001374FF"/>
    <w:rsid w:val="00141908"/>
    <w:rsid w:val="00147D5E"/>
    <w:rsid w:val="001574DA"/>
    <w:rsid w:val="001752DA"/>
    <w:rsid w:val="00182E1D"/>
    <w:rsid w:val="001E0776"/>
    <w:rsid w:val="001E30E9"/>
    <w:rsid w:val="001E3118"/>
    <w:rsid w:val="001F6FE3"/>
    <w:rsid w:val="001F7F9E"/>
    <w:rsid w:val="002104FD"/>
    <w:rsid w:val="00221E22"/>
    <w:rsid w:val="00237CF0"/>
    <w:rsid w:val="00251355"/>
    <w:rsid w:val="0025222F"/>
    <w:rsid w:val="002736B2"/>
    <w:rsid w:val="00295BE2"/>
    <w:rsid w:val="0029763E"/>
    <w:rsid w:val="002C2F14"/>
    <w:rsid w:val="002E0FB2"/>
    <w:rsid w:val="002F2CC4"/>
    <w:rsid w:val="003161B4"/>
    <w:rsid w:val="00317244"/>
    <w:rsid w:val="003337D8"/>
    <w:rsid w:val="003374D5"/>
    <w:rsid w:val="00347F77"/>
    <w:rsid w:val="00380186"/>
    <w:rsid w:val="00383FC7"/>
    <w:rsid w:val="003A5A29"/>
    <w:rsid w:val="003A68C8"/>
    <w:rsid w:val="003B1D97"/>
    <w:rsid w:val="003C4191"/>
    <w:rsid w:val="003C4666"/>
    <w:rsid w:val="003E04A2"/>
    <w:rsid w:val="00416F67"/>
    <w:rsid w:val="0041778E"/>
    <w:rsid w:val="00417A18"/>
    <w:rsid w:val="00433EF7"/>
    <w:rsid w:val="00442B9C"/>
    <w:rsid w:val="004A1179"/>
    <w:rsid w:val="004A2E77"/>
    <w:rsid w:val="004A73A2"/>
    <w:rsid w:val="004D5F12"/>
    <w:rsid w:val="004D762E"/>
    <w:rsid w:val="00512D30"/>
    <w:rsid w:val="0051416B"/>
    <w:rsid w:val="005253AC"/>
    <w:rsid w:val="00537767"/>
    <w:rsid w:val="0054027C"/>
    <w:rsid w:val="00542E53"/>
    <w:rsid w:val="00543059"/>
    <w:rsid w:val="0055043A"/>
    <w:rsid w:val="00554BD3"/>
    <w:rsid w:val="00574104"/>
    <w:rsid w:val="005767EE"/>
    <w:rsid w:val="005931F2"/>
    <w:rsid w:val="005B126E"/>
    <w:rsid w:val="005B2E37"/>
    <w:rsid w:val="005D705F"/>
    <w:rsid w:val="005E64D5"/>
    <w:rsid w:val="005F0BC9"/>
    <w:rsid w:val="006028BA"/>
    <w:rsid w:val="00627F9C"/>
    <w:rsid w:val="00630556"/>
    <w:rsid w:val="006355D9"/>
    <w:rsid w:val="006577A4"/>
    <w:rsid w:val="00661A5F"/>
    <w:rsid w:val="006634C0"/>
    <w:rsid w:val="00713D58"/>
    <w:rsid w:val="00731F2A"/>
    <w:rsid w:val="00735CD9"/>
    <w:rsid w:val="00743321"/>
    <w:rsid w:val="0076260E"/>
    <w:rsid w:val="007663C5"/>
    <w:rsid w:val="0077014A"/>
    <w:rsid w:val="007711D9"/>
    <w:rsid w:val="007A3C2D"/>
    <w:rsid w:val="007A7C40"/>
    <w:rsid w:val="007C312C"/>
    <w:rsid w:val="007C3C03"/>
    <w:rsid w:val="007F2727"/>
    <w:rsid w:val="00805F35"/>
    <w:rsid w:val="008317D8"/>
    <w:rsid w:val="00843F81"/>
    <w:rsid w:val="00863A50"/>
    <w:rsid w:val="00864411"/>
    <w:rsid w:val="00887423"/>
    <w:rsid w:val="00895504"/>
    <w:rsid w:val="008B3367"/>
    <w:rsid w:val="008B7C4F"/>
    <w:rsid w:val="008F0523"/>
    <w:rsid w:val="008F274C"/>
    <w:rsid w:val="008F29F2"/>
    <w:rsid w:val="0090107F"/>
    <w:rsid w:val="00914D32"/>
    <w:rsid w:val="00915655"/>
    <w:rsid w:val="00923205"/>
    <w:rsid w:val="0092663D"/>
    <w:rsid w:val="009318B2"/>
    <w:rsid w:val="00965F3D"/>
    <w:rsid w:val="0097710D"/>
    <w:rsid w:val="009873B2"/>
    <w:rsid w:val="009917B4"/>
    <w:rsid w:val="009A1555"/>
    <w:rsid w:val="009A6B8C"/>
    <w:rsid w:val="009E451E"/>
    <w:rsid w:val="00A305D6"/>
    <w:rsid w:val="00A4220F"/>
    <w:rsid w:val="00A43C51"/>
    <w:rsid w:val="00A5442D"/>
    <w:rsid w:val="00A57D87"/>
    <w:rsid w:val="00A57E92"/>
    <w:rsid w:val="00A660E6"/>
    <w:rsid w:val="00A87C69"/>
    <w:rsid w:val="00AA7AA7"/>
    <w:rsid w:val="00AA7F09"/>
    <w:rsid w:val="00AC11F9"/>
    <w:rsid w:val="00AD1BC3"/>
    <w:rsid w:val="00AE51A3"/>
    <w:rsid w:val="00AF193E"/>
    <w:rsid w:val="00B057BD"/>
    <w:rsid w:val="00B06E76"/>
    <w:rsid w:val="00B072DA"/>
    <w:rsid w:val="00B24F64"/>
    <w:rsid w:val="00B3089C"/>
    <w:rsid w:val="00B40BCF"/>
    <w:rsid w:val="00B44316"/>
    <w:rsid w:val="00B5640E"/>
    <w:rsid w:val="00BB2E13"/>
    <w:rsid w:val="00BC79B7"/>
    <w:rsid w:val="00BF788B"/>
    <w:rsid w:val="00C1628D"/>
    <w:rsid w:val="00C27852"/>
    <w:rsid w:val="00C37537"/>
    <w:rsid w:val="00C7493D"/>
    <w:rsid w:val="00C831CE"/>
    <w:rsid w:val="00C911D1"/>
    <w:rsid w:val="00C97D35"/>
    <w:rsid w:val="00CA5F80"/>
    <w:rsid w:val="00CC1B17"/>
    <w:rsid w:val="00CC1F68"/>
    <w:rsid w:val="00CE6F9A"/>
    <w:rsid w:val="00D04ED4"/>
    <w:rsid w:val="00D45024"/>
    <w:rsid w:val="00D55A08"/>
    <w:rsid w:val="00DA455E"/>
    <w:rsid w:val="00DC50F5"/>
    <w:rsid w:val="00DE214C"/>
    <w:rsid w:val="00DE2801"/>
    <w:rsid w:val="00DE7EAF"/>
    <w:rsid w:val="00DF7374"/>
    <w:rsid w:val="00E13C01"/>
    <w:rsid w:val="00E3698E"/>
    <w:rsid w:val="00E41891"/>
    <w:rsid w:val="00E41C92"/>
    <w:rsid w:val="00E8259C"/>
    <w:rsid w:val="00E82813"/>
    <w:rsid w:val="00E9684F"/>
    <w:rsid w:val="00EB17B9"/>
    <w:rsid w:val="00EC7144"/>
    <w:rsid w:val="00EF283C"/>
    <w:rsid w:val="00F30070"/>
    <w:rsid w:val="00F56384"/>
    <w:rsid w:val="00F664D6"/>
    <w:rsid w:val="00F77914"/>
    <w:rsid w:val="00F834A5"/>
    <w:rsid w:val="00FD0A2C"/>
    <w:rsid w:val="00FD26AF"/>
    <w:rsid w:val="00FD4DDC"/>
    <w:rsid w:val="00FD4FDF"/>
    <w:rsid w:val="00FD5057"/>
    <w:rsid w:val="00FD6838"/>
    <w:rsid w:val="00FF372C"/>
    <w:rsid w:val="00FF7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43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9550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95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50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75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B0690-8837-4EC7-9133-EC988962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Jigalina</cp:lastModifiedBy>
  <cp:revision>16</cp:revision>
  <cp:lastPrinted>2020-01-28T15:06:00Z</cp:lastPrinted>
  <dcterms:created xsi:type="dcterms:W3CDTF">2020-01-28T09:11:00Z</dcterms:created>
  <dcterms:modified xsi:type="dcterms:W3CDTF">2020-01-29T14:52:00Z</dcterms:modified>
</cp:coreProperties>
</file>